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C" w:rsidRPr="008538E7" w:rsidRDefault="00135A0C" w:rsidP="00135A0C">
      <w:pPr>
        <w:jc w:val="right"/>
        <w:outlineLvl w:val="0"/>
      </w:pPr>
      <w:r w:rsidRPr="008538E7">
        <w:t xml:space="preserve">Приложение </w:t>
      </w:r>
      <w:r w:rsidR="007E11B4">
        <w:t>2</w:t>
      </w:r>
    </w:p>
    <w:p w:rsidR="00135A0C" w:rsidRPr="008538E7" w:rsidRDefault="00135A0C" w:rsidP="00135A0C">
      <w:pPr>
        <w:jc w:val="right"/>
      </w:pPr>
      <w:r w:rsidRPr="008538E7">
        <w:t xml:space="preserve">к решению Торжокскойгородской </w:t>
      </w:r>
      <w:r>
        <w:t>Думы</w:t>
      </w:r>
    </w:p>
    <w:p w:rsidR="00DC0F62" w:rsidRPr="00B358A0" w:rsidRDefault="00DC0F62" w:rsidP="00DC0F62">
      <w:pPr>
        <w:ind w:right="21"/>
        <w:jc w:val="right"/>
      </w:pPr>
      <w:r w:rsidRPr="00B358A0">
        <w:t>от</w:t>
      </w:r>
      <w:bookmarkStart w:id="0" w:name="_GoBack"/>
      <w:bookmarkEnd w:id="0"/>
      <w:r w:rsidR="00AD609D">
        <w:t xml:space="preserve"> 24.12</w:t>
      </w:r>
      <w:r w:rsidR="00584DDD">
        <w:t>.</w:t>
      </w:r>
      <w:r>
        <w:t>201</w:t>
      </w:r>
      <w:r w:rsidR="007E11B4">
        <w:t>9</w:t>
      </w:r>
      <w:r w:rsidR="00AD609D">
        <w:t xml:space="preserve"> </w:t>
      </w:r>
      <w:r w:rsidRPr="00B358A0">
        <w:t>№</w:t>
      </w:r>
      <w:r w:rsidR="00AD609D">
        <w:t xml:space="preserve"> 235</w:t>
      </w:r>
    </w:p>
    <w:p w:rsidR="00135A0C" w:rsidRPr="008538E7" w:rsidRDefault="00135A0C" w:rsidP="00135A0C">
      <w:pPr>
        <w:jc w:val="right"/>
      </w:pPr>
    </w:p>
    <w:p w:rsidR="00135A0C" w:rsidRPr="008538E7" w:rsidRDefault="00135A0C" w:rsidP="00135A0C">
      <w:pPr>
        <w:jc w:val="center"/>
        <w:rPr>
          <w:b/>
        </w:rPr>
      </w:pPr>
      <w:r w:rsidRPr="008538E7">
        <w:rPr>
          <w:b/>
        </w:rPr>
        <w:t>Перечень главныхадминистраторов доходов бюджета муниципального образования город Торжок на 201</w:t>
      </w:r>
      <w:r w:rsidR="00DC0F62">
        <w:rPr>
          <w:b/>
        </w:rPr>
        <w:t>9</w:t>
      </w:r>
      <w:r w:rsidRPr="008538E7">
        <w:rPr>
          <w:b/>
        </w:rPr>
        <w:t xml:space="preserve"> год</w:t>
      </w:r>
      <w:r w:rsidRPr="008538E7">
        <w:rPr>
          <w:b/>
          <w:bCs/>
        </w:rPr>
        <w:t xml:space="preserve">и на плановый период </w:t>
      </w:r>
      <w:r w:rsidR="00DC0F62">
        <w:rPr>
          <w:b/>
          <w:bCs/>
        </w:rPr>
        <w:t>2020</w:t>
      </w:r>
      <w:r w:rsidRPr="008538E7">
        <w:rPr>
          <w:b/>
          <w:bCs/>
        </w:rPr>
        <w:t xml:space="preserve"> и 202</w:t>
      </w:r>
      <w:r w:rsidR="00DC0F62">
        <w:rPr>
          <w:b/>
          <w:bCs/>
        </w:rPr>
        <w:t>1</w:t>
      </w:r>
      <w:r w:rsidRPr="008538E7">
        <w:rPr>
          <w:b/>
          <w:bCs/>
        </w:rPr>
        <w:t xml:space="preserve"> годов</w:t>
      </w:r>
      <w:r w:rsidRPr="008538E7">
        <w:rPr>
          <w:b/>
        </w:rPr>
        <w:t xml:space="preserve"> – органов государственной власти Российской Федерации, органов государственной власти Тверской области</w:t>
      </w:r>
    </w:p>
    <w:p w:rsidR="00135A0C" w:rsidRPr="008538E7" w:rsidRDefault="00135A0C" w:rsidP="00135A0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700"/>
        <w:gridCol w:w="5995"/>
      </w:tblGrid>
      <w:tr w:rsidR="00135A0C" w:rsidRPr="00B80C98" w:rsidTr="0040241F">
        <w:trPr>
          <w:cantSplit/>
          <w:tblHeader/>
        </w:trPr>
        <w:tc>
          <w:tcPr>
            <w:tcW w:w="4212" w:type="dxa"/>
            <w:gridSpan w:val="2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Наименование главного администратора доходов местного бюджета</w:t>
            </w:r>
          </w:p>
        </w:tc>
      </w:tr>
      <w:tr w:rsidR="00135A0C" w:rsidRPr="00B80C98" w:rsidTr="0040241F">
        <w:trPr>
          <w:cantSplit/>
          <w:tblHeader/>
        </w:trPr>
        <w:tc>
          <w:tcPr>
            <w:tcW w:w="1512" w:type="dxa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135A0C" w:rsidRPr="00B80C98" w:rsidRDefault="00135A0C" w:rsidP="0040241F">
            <w:pPr>
              <w:jc w:val="center"/>
            </w:pPr>
            <w:r w:rsidRPr="00B80C98">
              <w:t>доходов местного бюджета</w:t>
            </w:r>
          </w:p>
        </w:tc>
        <w:tc>
          <w:tcPr>
            <w:tcW w:w="5995" w:type="dxa"/>
            <w:vMerge/>
          </w:tcPr>
          <w:p w:rsidR="00135A0C" w:rsidRPr="00B80C98" w:rsidRDefault="00135A0C" w:rsidP="0040241F">
            <w:pPr>
              <w:jc w:val="center"/>
            </w:pPr>
          </w:p>
        </w:tc>
      </w:tr>
      <w:tr w:rsidR="00135A0C" w:rsidRPr="00B80C98" w:rsidTr="0040241F">
        <w:trPr>
          <w:cantSplit/>
        </w:trPr>
        <w:tc>
          <w:tcPr>
            <w:tcW w:w="10207" w:type="dxa"/>
            <w:gridSpan w:val="3"/>
          </w:tcPr>
          <w:p w:rsidR="00135A0C" w:rsidRPr="00B80C98" w:rsidRDefault="00135A0C" w:rsidP="0040241F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Органы государственной власти Российской Федерации</w:t>
            </w:r>
            <w:r w:rsidRPr="00B80C98">
              <w:rPr>
                <w:sz w:val="24"/>
                <w:szCs w:val="24"/>
                <w:lang w:val="ru-RU"/>
              </w:rPr>
              <w:t>**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rPr>
                <w:b/>
              </w:rPr>
              <w:t>048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hanging="108"/>
            </w:pPr>
          </w:p>
        </w:tc>
        <w:tc>
          <w:tcPr>
            <w:tcW w:w="5995" w:type="dxa"/>
            <w:vAlign w:val="center"/>
          </w:tcPr>
          <w:p w:rsidR="00135A0C" w:rsidRPr="00B80C98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5C2338">
            <w:pPr>
              <w:ind w:hanging="108"/>
              <w:jc w:val="center"/>
            </w:pPr>
            <w:r w:rsidRPr="00B80C98">
              <w:t>1 12 01000 01 0000 120</w:t>
            </w:r>
          </w:p>
        </w:tc>
        <w:tc>
          <w:tcPr>
            <w:tcW w:w="5995" w:type="dxa"/>
            <w:vAlign w:val="center"/>
          </w:tcPr>
          <w:p w:rsidR="00135A0C" w:rsidRPr="00B80C98" w:rsidRDefault="00135A0C" w:rsidP="0040241F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5C2338">
            <w:pPr>
              <w:ind w:left="-108"/>
              <w:jc w:val="center"/>
            </w:pPr>
            <w:r w:rsidRPr="00B80C98">
              <w:t>1 16 25000 00 0000 140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autoSpaceDE w:val="0"/>
              <w:autoSpaceDN w:val="0"/>
              <w:adjustRightInd w:val="0"/>
              <w:jc w:val="both"/>
            </w:pPr>
            <w:r w:rsidRPr="00B80C98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048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зачисляемыевбюджеты городских округов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100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Федеральное казначейство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100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1 03 02000 01 0000 110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106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по надзору в сфере транспорта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106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  <w:rPr>
                <w:b/>
              </w:rPr>
            </w:pPr>
            <w:r w:rsidRPr="00B80C98">
              <w:rPr>
                <w:b/>
              </w:rPr>
              <w:t>141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A70DD" w:rsidRPr="00B80C98" w:rsidTr="0040241F">
        <w:trPr>
          <w:cantSplit/>
        </w:trPr>
        <w:tc>
          <w:tcPr>
            <w:tcW w:w="1512" w:type="dxa"/>
          </w:tcPr>
          <w:p w:rsidR="00EA70DD" w:rsidRPr="00B80C98" w:rsidRDefault="00EA70DD" w:rsidP="00EA70DD">
            <w:pPr>
              <w:jc w:val="center"/>
            </w:pPr>
            <w:r>
              <w:t>141</w:t>
            </w:r>
          </w:p>
        </w:tc>
        <w:tc>
          <w:tcPr>
            <w:tcW w:w="2700" w:type="dxa"/>
          </w:tcPr>
          <w:p w:rsidR="00EA70DD" w:rsidRDefault="00EA70DD" w:rsidP="00EA70DD">
            <w:pPr>
              <w:ind w:left="-60"/>
              <w:jc w:val="center"/>
            </w:pPr>
            <w:r>
              <w:t>1 16 08000 01 0000 140</w:t>
            </w:r>
          </w:p>
        </w:tc>
        <w:tc>
          <w:tcPr>
            <w:tcW w:w="5995" w:type="dxa"/>
          </w:tcPr>
          <w:p w:rsidR="00EA70DD" w:rsidRDefault="00EA70DD" w:rsidP="00EA70DD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EA70DD" w:rsidRPr="00B80C98" w:rsidTr="0040241F">
        <w:trPr>
          <w:cantSplit/>
        </w:trPr>
        <w:tc>
          <w:tcPr>
            <w:tcW w:w="1512" w:type="dxa"/>
          </w:tcPr>
          <w:p w:rsidR="00EA70DD" w:rsidRPr="00B80C98" w:rsidRDefault="00EA70DD" w:rsidP="0040241F">
            <w:pPr>
              <w:jc w:val="center"/>
            </w:pPr>
            <w:r>
              <w:t>141</w:t>
            </w:r>
          </w:p>
        </w:tc>
        <w:tc>
          <w:tcPr>
            <w:tcW w:w="2700" w:type="dxa"/>
          </w:tcPr>
          <w:p w:rsidR="00EA70DD" w:rsidRPr="00B80C98" w:rsidRDefault="00EA70DD" w:rsidP="0040241F">
            <w:pPr>
              <w:ind w:left="-202" w:right="-108"/>
              <w:jc w:val="center"/>
            </w:pPr>
            <w:r w:rsidRPr="00EA70DD">
              <w:t>1 16 25050 01 0000 140</w:t>
            </w:r>
          </w:p>
        </w:tc>
        <w:tc>
          <w:tcPr>
            <w:tcW w:w="5995" w:type="dxa"/>
          </w:tcPr>
          <w:p w:rsidR="00EA70DD" w:rsidRPr="00B80C98" w:rsidRDefault="00EA70DD" w:rsidP="0040241F">
            <w:pPr>
              <w:jc w:val="both"/>
            </w:pPr>
            <w:r w:rsidRPr="00EA70DD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35A0C" w:rsidRPr="00B80C98" w:rsidTr="0040241F">
        <w:trPr>
          <w:cantSplit/>
        </w:trPr>
        <w:tc>
          <w:tcPr>
            <w:tcW w:w="1512" w:type="dxa"/>
          </w:tcPr>
          <w:p w:rsidR="00135A0C" w:rsidRPr="00B80C98" w:rsidRDefault="00135A0C" w:rsidP="0040241F">
            <w:pPr>
              <w:jc w:val="center"/>
            </w:pPr>
            <w:r w:rsidRPr="00B80C98">
              <w:t>141</w:t>
            </w:r>
          </w:p>
        </w:tc>
        <w:tc>
          <w:tcPr>
            <w:tcW w:w="2700" w:type="dxa"/>
          </w:tcPr>
          <w:p w:rsidR="00135A0C" w:rsidRPr="00B80C98" w:rsidRDefault="00135A0C" w:rsidP="0040241F">
            <w:pPr>
              <w:ind w:left="-202" w:right="-108"/>
              <w:jc w:val="center"/>
            </w:pPr>
            <w:r w:rsidRPr="00B80C98">
              <w:t>1 16 28000 01 0000 140</w:t>
            </w:r>
          </w:p>
        </w:tc>
        <w:tc>
          <w:tcPr>
            <w:tcW w:w="5995" w:type="dxa"/>
          </w:tcPr>
          <w:p w:rsidR="00135A0C" w:rsidRPr="00B80C98" w:rsidRDefault="00135A0C" w:rsidP="0040241F">
            <w:pPr>
              <w:jc w:val="both"/>
            </w:pPr>
            <w:r w:rsidRPr="00B80C98">
              <w:t>Денежные взыскания (штрафы) за нарушениезаконодательства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930C43" w:rsidRPr="00B80C98" w:rsidTr="0040241F">
        <w:trPr>
          <w:cantSplit/>
        </w:trPr>
        <w:tc>
          <w:tcPr>
            <w:tcW w:w="1512" w:type="dxa"/>
          </w:tcPr>
          <w:p w:rsidR="00930C43" w:rsidRPr="00B80C98" w:rsidRDefault="00930C43" w:rsidP="00930C43">
            <w:pPr>
              <w:jc w:val="center"/>
            </w:pPr>
            <w:r w:rsidRPr="00B80C98">
              <w:t>141</w:t>
            </w:r>
          </w:p>
        </w:tc>
        <w:tc>
          <w:tcPr>
            <w:tcW w:w="2700" w:type="dxa"/>
          </w:tcPr>
          <w:p w:rsidR="00930C43" w:rsidRPr="00B80C98" w:rsidRDefault="00930C43" w:rsidP="00930C43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930C43" w:rsidRPr="00B80C98" w:rsidRDefault="00930C43" w:rsidP="00930C43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EA70DD" w:rsidRPr="00B80C98" w:rsidTr="00100037">
        <w:trPr>
          <w:cantSplit/>
        </w:trPr>
        <w:tc>
          <w:tcPr>
            <w:tcW w:w="1512" w:type="dxa"/>
          </w:tcPr>
          <w:p w:rsidR="00EA70DD" w:rsidRPr="00B80C98" w:rsidRDefault="00EA70DD" w:rsidP="00EA70DD">
            <w:pPr>
              <w:jc w:val="center"/>
            </w:pPr>
            <w:r w:rsidRPr="00B80C98">
              <w:lastRenderedPageBreak/>
              <w:t>141</w:t>
            </w:r>
          </w:p>
        </w:tc>
        <w:tc>
          <w:tcPr>
            <w:tcW w:w="2700" w:type="dxa"/>
          </w:tcPr>
          <w:p w:rsidR="00EA70DD" w:rsidRDefault="00EA70DD" w:rsidP="00EA70DD">
            <w:pPr>
              <w:ind w:left="-108"/>
              <w:jc w:val="center"/>
            </w:pPr>
            <w:r>
              <w:t>1 16 90040 04 0000 140</w:t>
            </w:r>
          </w:p>
        </w:tc>
        <w:tc>
          <w:tcPr>
            <w:tcW w:w="5995" w:type="dxa"/>
          </w:tcPr>
          <w:p w:rsidR="00EA70DD" w:rsidRDefault="00EA70DD" w:rsidP="00EA70D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161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right="-108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  <w:snapToGrid w:val="0"/>
              </w:rPr>
              <w:t>Федеральная антимонопольная служба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161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jc w:val="center"/>
            </w:pPr>
            <w:r w:rsidRPr="00B80C98">
              <w:t>1 16 33040 04 0000140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177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177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108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Федеральная налоговая служба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1 01 02000 01 0000 110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 на доходы физических лиц*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1 05 02000 02 0000 110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Единый налог на вмененный доход для отдельных видов деятельности*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1 05 03000 01 0000 110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Единый сельскохозяйственный налог*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1 05 04000 02 0000 110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Налог, взимаемый в связи с применением патентной системы налогообложения*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1 06 0100000 0000 110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 на имущество физических лиц*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1 06 06000 00 0000 110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Земельный налог*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1 08 03010 01 0000 110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1 09 04000 00 0000 110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Налоги на имущество*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1 09 07000 00 0000 110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налоги и сборы (по отмененным местным налогам и сборам)*</w:t>
            </w:r>
          </w:p>
        </w:tc>
      </w:tr>
      <w:tr w:rsidR="00F13A76" w:rsidRPr="00B80C98" w:rsidTr="0040241F">
        <w:trPr>
          <w:cantSplit/>
          <w:trHeight w:val="1719"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1 16 03010 01 0000 140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autoSpaceDE w:val="0"/>
              <w:autoSpaceDN w:val="0"/>
              <w:adjustRightInd w:val="0"/>
              <w:jc w:val="both"/>
            </w:pPr>
            <w:r w:rsidRPr="00B80C98">
              <w:t xml:space="preserve">Денежные взыскания (штрафы) за нарушение законодательства о налогах и сборах, предусмотренные статьями 116, </w:t>
            </w:r>
            <w:hyperlink r:id="rId4" w:history="1">
              <w:r w:rsidRPr="00B80C98">
                <w:t>119.1</w:t>
              </w:r>
            </w:hyperlink>
            <w:r w:rsidRPr="00B80C98">
              <w:t xml:space="preserve">, </w:t>
            </w:r>
            <w:hyperlink r:id="rId5" w:history="1">
              <w:r w:rsidRPr="00B80C98">
                <w:t>119.2</w:t>
              </w:r>
            </w:hyperlink>
            <w:r w:rsidRPr="00B80C98">
              <w:t>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1 16 03030 01 0000 140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1 16 06000 01 0000 140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lastRenderedPageBreak/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1 16 08000 01 0000 140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Министерство внутренних дел Российской Федерации</w:t>
            </w:r>
          </w:p>
        </w:tc>
      </w:tr>
      <w:tr w:rsidR="00F13A76" w:rsidRPr="00B80C98" w:rsidTr="00EA70DD">
        <w:trPr>
          <w:cantSplit/>
          <w:trHeight w:val="1443"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1 16 06000 01 0000 140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1 16 08000 01 0000 140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1 16 21040 04 0000 140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EA70DD" w:rsidRPr="00B80C98" w:rsidTr="0040241F">
        <w:trPr>
          <w:cantSplit/>
        </w:trPr>
        <w:tc>
          <w:tcPr>
            <w:tcW w:w="1512" w:type="dxa"/>
          </w:tcPr>
          <w:p w:rsidR="00EA70DD" w:rsidRPr="00B80C98" w:rsidRDefault="00EA70DD" w:rsidP="00F13A76">
            <w:pPr>
              <w:jc w:val="center"/>
            </w:pPr>
            <w:r>
              <w:t>188</w:t>
            </w:r>
          </w:p>
        </w:tc>
        <w:tc>
          <w:tcPr>
            <w:tcW w:w="2700" w:type="dxa"/>
          </w:tcPr>
          <w:p w:rsidR="00EA70DD" w:rsidRPr="00B80C98" w:rsidRDefault="00EA70DD" w:rsidP="00F13A76">
            <w:pPr>
              <w:ind w:left="-60"/>
              <w:jc w:val="center"/>
            </w:pPr>
            <w:r w:rsidRPr="00EA70DD">
              <w:t>1 16 25073 04 0000 140</w:t>
            </w:r>
          </w:p>
        </w:tc>
        <w:tc>
          <w:tcPr>
            <w:tcW w:w="5995" w:type="dxa"/>
            <w:vAlign w:val="center"/>
          </w:tcPr>
          <w:p w:rsidR="00EA70DD" w:rsidRPr="00B80C98" w:rsidRDefault="00EA70DD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0DD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EA70DD" w:rsidRPr="00B80C98" w:rsidTr="0001715A">
        <w:trPr>
          <w:cantSplit/>
        </w:trPr>
        <w:tc>
          <w:tcPr>
            <w:tcW w:w="1512" w:type="dxa"/>
          </w:tcPr>
          <w:p w:rsidR="00EA70DD" w:rsidRPr="00B80C98" w:rsidRDefault="00EA70DD" w:rsidP="00EA70DD">
            <w:pPr>
              <w:jc w:val="center"/>
            </w:pPr>
            <w:r>
              <w:t>188</w:t>
            </w:r>
          </w:p>
        </w:tc>
        <w:tc>
          <w:tcPr>
            <w:tcW w:w="2700" w:type="dxa"/>
          </w:tcPr>
          <w:p w:rsidR="00EA70DD" w:rsidRDefault="00EA70DD" w:rsidP="00EA70DD">
            <w:pPr>
              <w:ind w:left="-202" w:right="-108"/>
              <w:jc w:val="center"/>
            </w:pPr>
            <w:r>
              <w:t>1 16 28000 01 0000 140</w:t>
            </w:r>
          </w:p>
        </w:tc>
        <w:tc>
          <w:tcPr>
            <w:tcW w:w="5995" w:type="dxa"/>
          </w:tcPr>
          <w:p w:rsidR="00EA70DD" w:rsidRDefault="00EA70DD" w:rsidP="00EA70DD">
            <w:pPr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1 16 30013 01 0000 140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нарушения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1 16 30030 01 0000 140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1 16 43000 01 0000 140</w:t>
            </w: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188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321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rPr>
                <w:b/>
              </w:rPr>
            </w:pPr>
          </w:p>
        </w:tc>
        <w:tc>
          <w:tcPr>
            <w:tcW w:w="5995" w:type="dxa"/>
            <w:vAlign w:val="center"/>
          </w:tcPr>
          <w:p w:rsidR="00F13A76" w:rsidRPr="00B80C98" w:rsidRDefault="00F13A76" w:rsidP="00F13A76">
            <w:pPr>
              <w:pStyle w:val="ConsNormal"/>
              <w:ind w:righ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0C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t>321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1 16 25060 01 0000 140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земельного законодательства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322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Федеральная служба судебных приставов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</w:tcPr>
          <w:p w:rsidR="00F13A76" w:rsidRPr="00B80C98" w:rsidRDefault="00F13A76" w:rsidP="00F13A76">
            <w:pPr>
              <w:jc w:val="center"/>
            </w:pPr>
            <w:r w:rsidRPr="00B80C98">
              <w:lastRenderedPageBreak/>
              <w:t>322</w:t>
            </w:r>
          </w:p>
        </w:tc>
        <w:tc>
          <w:tcPr>
            <w:tcW w:w="2700" w:type="dxa"/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1 16 21040 04 0000 140</w:t>
            </w:r>
          </w:p>
        </w:tc>
        <w:tc>
          <w:tcPr>
            <w:tcW w:w="5995" w:type="dxa"/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AF2C32" w:rsidRPr="00B80C98" w:rsidTr="009E40E7">
        <w:trPr>
          <w:cantSplit/>
        </w:trPr>
        <w:tc>
          <w:tcPr>
            <w:tcW w:w="1512" w:type="dxa"/>
          </w:tcPr>
          <w:p w:rsidR="00AF2C32" w:rsidRPr="00B80C98" w:rsidRDefault="00AF2C32" w:rsidP="00AF2C32">
            <w:pPr>
              <w:jc w:val="center"/>
            </w:pPr>
            <w:r>
              <w:t>322</w:t>
            </w:r>
          </w:p>
        </w:tc>
        <w:tc>
          <w:tcPr>
            <w:tcW w:w="2700" w:type="dxa"/>
          </w:tcPr>
          <w:p w:rsidR="00AF2C32" w:rsidRDefault="00AF2C32" w:rsidP="00AF2C32">
            <w:pPr>
              <w:ind w:left="-60"/>
              <w:jc w:val="center"/>
            </w:pPr>
            <w:r>
              <w:t>1 16 43000 01 0000 140</w:t>
            </w:r>
          </w:p>
        </w:tc>
        <w:tc>
          <w:tcPr>
            <w:tcW w:w="5995" w:type="dxa"/>
            <w:vAlign w:val="center"/>
          </w:tcPr>
          <w:p w:rsidR="00AF2C32" w:rsidRDefault="00AF2C32" w:rsidP="00AF2C32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Органы государственной власти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EA70DD">
            <w:pPr>
              <w:jc w:val="both"/>
              <w:rPr>
                <w:b/>
              </w:rPr>
            </w:pPr>
            <w:r w:rsidRPr="00B80C98">
              <w:rPr>
                <w:b/>
              </w:rPr>
              <w:t xml:space="preserve">Главное управление </w:t>
            </w:r>
            <w:r w:rsidR="00EA70DD">
              <w:rPr>
                <w:b/>
                <w:bCs/>
              </w:rPr>
              <w:t>«</w:t>
            </w:r>
            <w:r w:rsidRPr="00B80C98">
              <w:rPr>
                <w:b/>
              </w:rPr>
              <w:t>Государственная жилищная инспекция</w:t>
            </w:r>
            <w:r w:rsidR="00EA70DD">
              <w:rPr>
                <w:b/>
                <w:bCs/>
              </w:rPr>
              <w:t>»</w:t>
            </w:r>
            <w:r w:rsidRPr="00B80C98">
              <w:rPr>
                <w:b/>
              </w:rPr>
              <w:t xml:space="preserve">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A70DD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Pr="00B80C98" w:rsidRDefault="00EA70DD" w:rsidP="00F13A76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Pr="00B80C98" w:rsidRDefault="00EA70DD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Pr="00B80C98" w:rsidRDefault="00EA70DD" w:rsidP="00F13A76">
            <w:pPr>
              <w:jc w:val="both"/>
              <w:rPr>
                <w:b/>
              </w:rPr>
            </w:pPr>
            <w:r w:rsidRPr="00EA70DD">
              <w:rPr>
                <w:b/>
              </w:rPr>
              <w:t>Министерство образования Тверской области</w:t>
            </w:r>
          </w:p>
        </w:tc>
      </w:tr>
      <w:tr w:rsidR="00EA70DD" w:rsidRPr="00EA70DD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Pr="00EA70DD" w:rsidRDefault="00EA70DD" w:rsidP="00EA70DD">
            <w:pPr>
              <w:jc w:val="center"/>
            </w:pPr>
            <w:r>
              <w:t>075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EA70DD">
            <w:pPr>
              <w:ind w:left="-60"/>
              <w:jc w:val="center"/>
            </w:pPr>
            <w: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EA70D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1 08 07150 01 0000 110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Государственная пошлина за выдачу разрешения на установку рекламной конструкции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EA70DD">
            <w:pPr>
              <w:jc w:val="both"/>
              <w:rPr>
                <w:b/>
              </w:rPr>
            </w:pPr>
            <w:r w:rsidRPr="00B80C98">
              <w:rPr>
                <w:b/>
              </w:rPr>
              <w:t xml:space="preserve">Главное управление </w:t>
            </w:r>
            <w:r w:rsidR="00EA70DD">
              <w:rPr>
                <w:b/>
                <w:bCs/>
              </w:rPr>
              <w:t>«</w:t>
            </w:r>
            <w:r w:rsidRPr="00B80C98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="00EA70DD">
              <w:rPr>
                <w:b/>
                <w:bCs/>
              </w:rPr>
              <w:t>»</w:t>
            </w:r>
            <w:r w:rsidRPr="00B80C98">
              <w:rPr>
                <w:b/>
              </w:rPr>
              <w:t xml:space="preserve"> Тверской области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  <w:rPr>
                <w:b/>
              </w:rPr>
            </w:pPr>
            <w:r w:rsidRPr="00B80C98">
              <w:rPr>
                <w:b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  <w:rPr>
                <w:b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  <w:rPr>
                <w:b/>
              </w:rPr>
            </w:pPr>
            <w:r w:rsidRPr="00B80C98">
              <w:rPr>
                <w:b/>
              </w:rPr>
              <w:t>Министерство Тверской области по обеспечению контрольных функций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1 16 18040 04 0000 140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1 16 33040 04 0000 140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A70DD" w:rsidRPr="00B80C98" w:rsidTr="00294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Pr="00B80C98" w:rsidRDefault="00EA70DD" w:rsidP="00EA70DD">
            <w:pPr>
              <w:jc w:val="center"/>
            </w:pPr>
            <w:r>
              <w:lastRenderedPageBreak/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D" w:rsidRDefault="00EA70DD" w:rsidP="00EA70DD">
            <w:pPr>
              <w:ind w:left="-60"/>
              <w:jc w:val="center"/>
            </w:pPr>
            <w:r>
              <w:t>1 16 43000 01 0000 140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DD" w:rsidRDefault="00EA70DD" w:rsidP="00EA70DD">
            <w:pPr>
              <w:pStyle w:val="ConsNormal"/>
              <w:ind w:righ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13A76" w:rsidRPr="00B80C98" w:rsidTr="0040241F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center"/>
            </w:pPr>
            <w:r w:rsidRPr="00B80C98"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ind w:left="-60"/>
              <w:jc w:val="center"/>
            </w:pPr>
            <w:r w:rsidRPr="00B80C98"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76" w:rsidRPr="00B80C98" w:rsidRDefault="00F13A76" w:rsidP="00F13A76">
            <w:pPr>
              <w:jc w:val="both"/>
            </w:pPr>
            <w:r w:rsidRPr="00B80C98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AD609D" w:rsidRDefault="00AD609D" w:rsidP="003273D1">
      <w:pPr>
        <w:jc w:val="both"/>
      </w:pPr>
    </w:p>
    <w:p w:rsidR="00135A0C" w:rsidRPr="00B80C98" w:rsidRDefault="00135A0C" w:rsidP="003273D1">
      <w:pPr>
        <w:jc w:val="both"/>
      </w:pPr>
      <w:r w:rsidRPr="00B80C98">
        <w:t>*Администрирование поступлений по всем</w:t>
      </w:r>
      <w:r w:rsidR="00D70A0E">
        <w:t xml:space="preserve"> </w:t>
      </w:r>
      <w:r w:rsidR="00EA70DD">
        <w:t xml:space="preserve">статьям, </w:t>
      </w:r>
      <w:r w:rsidRPr="00B80C98">
        <w:t>подстатьям соответствующей статьи и подвидам соответствующего вида доходов осуществляется администратором, указанным в группировочном коде классификации доходов, в части, зачисляемой в бюджет муниципального образования город Торжок</w:t>
      </w:r>
    </w:p>
    <w:p w:rsidR="00135A0C" w:rsidRPr="00B80C98" w:rsidRDefault="00135A0C" w:rsidP="003273D1">
      <w:pPr>
        <w:jc w:val="both"/>
      </w:pPr>
      <w:r w:rsidRPr="00B80C98">
        <w:t>** В случае</w:t>
      </w:r>
      <w:r w:rsidR="004C7715">
        <w:t xml:space="preserve"> </w:t>
      </w:r>
      <w:r w:rsidRPr="00B80C98">
        <w:t>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территориальные орга</w:t>
      </w:r>
      <w:r w:rsidR="00DC0F62" w:rsidRPr="00B80C98">
        <w:t>ны</w:t>
      </w:r>
      <w:r w:rsidR="00D70A0E">
        <w:t xml:space="preserve"> </w:t>
      </w:r>
      <w:r w:rsidR="003273D1" w:rsidRPr="00B80C98">
        <w:t>(подразделения)</w:t>
      </w:r>
    </w:p>
    <w:sectPr w:rsidR="00135A0C" w:rsidRPr="00B80C98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088F"/>
    <w:rsid w:val="00036E0A"/>
    <w:rsid w:val="00040E60"/>
    <w:rsid w:val="00042348"/>
    <w:rsid w:val="00046420"/>
    <w:rsid w:val="00055757"/>
    <w:rsid w:val="000608EA"/>
    <w:rsid w:val="000611D6"/>
    <w:rsid w:val="00062E94"/>
    <w:rsid w:val="000643DA"/>
    <w:rsid w:val="000643F3"/>
    <w:rsid w:val="00065A65"/>
    <w:rsid w:val="0007194F"/>
    <w:rsid w:val="00074421"/>
    <w:rsid w:val="0007624B"/>
    <w:rsid w:val="00081391"/>
    <w:rsid w:val="00081523"/>
    <w:rsid w:val="00081865"/>
    <w:rsid w:val="00083A68"/>
    <w:rsid w:val="00090F71"/>
    <w:rsid w:val="00094A08"/>
    <w:rsid w:val="000B2A17"/>
    <w:rsid w:val="000B62F3"/>
    <w:rsid w:val="000C4892"/>
    <w:rsid w:val="000C510B"/>
    <w:rsid w:val="000D50A7"/>
    <w:rsid w:val="000D5566"/>
    <w:rsid w:val="000E0FE2"/>
    <w:rsid w:val="000E71F8"/>
    <w:rsid w:val="000F0B4F"/>
    <w:rsid w:val="000F0D44"/>
    <w:rsid w:val="000F35B4"/>
    <w:rsid w:val="000F3DBD"/>
    <w:rsid w:val="000F6922"/>
    <w:rsid w:val="00102419"/>
    <w:rsid w:val="00103F85"/>
    <w:rsid w:val="0011097B"/>
    <w:rsid w:val="00110FC5"/>
    <w:rsid w:val="0011243C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33DEA"/>
    <w:rsid w:val="00135A0C"/>
    <w:rsid w:val="00141E21"/>
    <w:rsid w:val="00144522"/>
    <w:rsid w:val="00170CEF"/>
    <w:rsid w:val="001734F8"/>
    <w:rsid w:val="00176255"/>
    <w:rsid w:val="001841CB"/>
    <w:rsid w:val="00186559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4299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167"/>
    <w:rsid w:val="00211830"/>
    <w:rsid w:val="00211E16"/>
    <w:rsid w:val="00221EE4"/>
    <w:rsid w:val="00223582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C7500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273D1"/>
    <w:rsid w:val="00334D9E"/>
    <w:rsid w:val="0034650F"/>
    <w:rsid w:val="0034679A"/>
    <w:rsid w:val="00346865"/>
    <w:rsid w:val="00346B3F"/>
    <w:rsid w:val="003519F2"/>
    <w:rsid w:val="00351F82"/>
    <w:rsid w:val="003675F2"/>
    <w:rsid w:val="003768A1"/>
    <w:rsid w:val="00377C37"/>
    <w:rsid w:val="00386447"/>
    <w:rsid w:val="003943B6"/>
    <w:rsid w:val="00396E40"/>
    <w:rsid w:val="003A0810"/>
    <w:rsid w:val="003A79C1"/>
    <w:rsid w:val="003A79D5"/>
    <w:rsid w:val="003C0F0F"/>
    <w:rsid w:val="003C590B"/>
    <w:rsid w:val="003C60DD"/>
    <w:rsid w:val="003D1245"/>
    <w:rsid w:val="003E1676"/>
    <w:rsid w:val="003E5815"/>
    <w:rsid w:val="003E6A37"/>
    <w:rsid w:val="003F1994"/>
    <w:rsid w:val="0040241F"/>
    <w:rsid w:val="00403464"/>
    <w:rsid w:val="004061A1"/>
    <w:rsid w:val="0041021D"/>
    <w:rsid w:val="004103E0"/>
    <w:rsid w:val="00412384"/>
    <w:rsid w:val="004135CB"/>
    <w:rsid w:val="004136B0"/>
    <w:rsid w:val="004144B6"/>
    <w:rsid w:val="00422DA5"/>
    <w:rsid w:val="00422F03"/>
    <w:rsid w:val="004238FD"/>
    <w:rsid w:val="00426D48"/>
    <w:rsid w:val="004339B8"/>
    <w:rsid w:val="004342C9"/>
    <w:rsid w:val="00434815"/>
    <w:rsid w:val="004348A3"/>
    <w:rsid w:val="00437CF3"/>
    <w:rsid w:val="00470779"/>
    <w:rsid w:val="00474615"/>
    <w:rsid w:val="00476E17"/>
    <w:rsid w:val="00481936"/>
    <w:rsid w:val="00484D5A"/>
    <w:rsid w:val="00484F43"/>
    <w:rsid w:val="00485C11"/>
    <w:rsid w:val="00492413"/>
    <w:rsid w:val="00494406"/>
    <w:rsid w:val="004B1E32"/>
    <w:rsid w:val="004C7715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26A5E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4DDD"/>
    <w:rsid w:val="00587B76"/>
    <w:rsid w:val="00590481"/>
    <w:rsid w:val="00597704"/>
    <w:rsid w:val="005A2549"/>
    <w:rsid w:val="005A4FCA"/>
    <w:rsid w:val="005A5F6C"/>
    <w:rsid w:val="005A6515"/>
    <w:rsid w:val="005B6E03"/>
    <w:rsid w:val="005C2338"/>
    <w:rsid w:val="005C2A02"/>
    <w:rsid w:val="005C48CE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17322"/>
    <w:rsid w:val="00627CE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4D6C"/>
    <w:rsid w:val="00657DCA"/>
    <w:rsid w:val="00663159"/>
    <w:rsid w:val="006648E4"/>
    <w:rsid w:val="00667E77"/>
    <w:rsid w:val="00670969"/>
    <w:rsid w:val="006728D5"/>
    <w:rsid w:val="00677934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2E44"/>
    <w:rsid w:val="006B73A3"/>
    <w:rsid w:val="006B7BCE"/>
    <w:rsid w:val="006C2711"/>
    <w:rsid w:val="006C3A2F"/>
    <w:rsid w:val="006C461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3246"/>
    <w:rsid w:val="007A4C6C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11B4"/>
    <w:rsid w:val="007E3B95"/>
    <w:rsid w:val="007E3D10"/>
    <w:rsid w:val="007E7E4B"/>
    <w:rsid w:val="007F136C"/>
    <w:rsid w:val="007F3427"/>
    <w:rsid w:val="007F3DF6"/>
    <w:rsid w:val="007F443E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641A3"/>
    <w:rsid w:val="00875AB4"/>
    <w:rsid w:val="00880391"/>
    <w:rsid w:val="00880D59"/>
    <w:rsid w:val="008828C7"/>
    <w:rsid w:val="00890D9C"/>
    <w:rsid w:val="00891CF3"/>
    <w:rsid w:val="00892BAE"/>
    <w:rsid w:val="00895DDC"/>
    <w:rsid w:val="008B335D"/>
    <w:rsid w:val="008B7ABD"/>
    <w:rsid w:val="008C1EAD"/>
    <w:rsid w:val="008C4A92"/>
    <w:rsid w:val="008D1A35"/>
    <w:rsid w:val="008D1D1A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305E4"/>
    <w:rsid w:val="00930C43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2FE3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468F1"/>
    <w:rsid w:val="00A531D8"/>
    <w:rsid w:val="00A55AED"/>
    <w:rsid w:val="00A566F6"/>
    <w:rsid w:val="00A61BCB"/>
    <w:rsid w:val="00A6406C"/>
    <w:rsid w:val="00A72487"/>
    <w:rsid w:val="00A730A5"/>
    <w:rsid w:val="00A73A0B"/>
    <w:rsid w:val="00A76811"/>
    <w:rsid w:val="00A80AFF"/>
    <w:rsid w:val="00A812BE"/>
    <w:rsid w:val="00A84A2F"/>
    <w:rsid w:val="00A90FF2"/>
    <w:rsid w:val="00A92F77"/>
    <w:rsid w:val="00AA007F"/>
    <w:rsid w:val="00AA3505"/>
    <w:rsid w:val="00AA4DE0"/>
    <w:rsid w:val="00AA76A9"/>
    <w:rsid w:val="00AB15F4"/>
    <w:rsid w:val="00AB4F13"/>
    <w:rsid w:val="00AB77EA"/>
    <w:rsid w:val="00AB7949"/>
    <w:rsid w:val="00AC1686"/>
    <w:rsid w:val="00AC38B1"/>
    <w:rsid w:val="00AC3EA1"/>
    <w:rsid w:val="00AC7BDA"/>
    <w:rsid w:val="00AD609D"/>
    <w:rsid w:val="00AE1C32"/>
    <w:rsid w:val="00AE26DE"/>
    <w:rsid w:val="00AE4249"/>
    <w:rsid w:val="00AF2C32"/>
    <w:rsid w:val="00AF5FB8"/>
    <w:rsid w:val="00AF788D"/>
    <w:rsid w:val="00B0128C"/>
    <w:rsid w:val="00B066C0"/>
    <w:rsid w:val="00B2284F"/>
    <w:rsid w:val="00B26E5A"/>
    <w:rsid w:val="00B36A81"/>
    <w:rsid w:val="00B42C4E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0C98"/>
    <w:rsid w:val="00B8627E"/>
    <w:rsid w:val="00B9223E"/>
    <w:rsid w:val="00B932E2"/>
    <w:rsid w:val="00B93B41"/>
    <w:rsid w:val="00B95517"/>
    <w:rsid w:val="00B9730A"/>
    <w:rsid w:val="00BA1CCE"/>
    <w:rsid w:val="00BA5F9E"/>
    <w:rsid w:val="00BA683B"/>
    <w:rsid w:val="00BB3546"/>
    <w:rsid w:val="00BB509B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D6331"/>
    <w:rsid w:val="00BD7813"/>
    <w:rsid w:val="00BE51D8"/>
    <w:rsid w:val="00BE5E7F"/>
    <w:rsid w:val="00BE60D3"/>
    <w:rsid w:val="00BF4151"/>
    <w:rsid w:val="00BF648B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2D16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453E"/>
    <w:rsid w:val="00D703AC"/>
    <w:rsid w:val="00D70A0E"/>
    <w:rsid w:val="00D71898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0F62"/>
    <w:rsid w:val="00DC1A3D"/>
    <w:rsid w:val="00DC2016"/>
    <w:rsid w:val="00DC6345"/>
    <w:rsid w:val="00DD0124"/>
    <w:rsid w:val="00DD07C9"/>
    <w:rsid w:val="00DD0D4D"/>
    <w:rsid w:val="00DD28A9"/>
    <w:rsid w:val="00DD690A"/>
    <w:rsid w:val="00DE2140"/>
    <w:rsid w:val="00DE2C75"/>
    <w:rsid w:val="00DE55BE"/>
    <w:rsid w:val="00DE7690"/>
    <w:rsid w:val="00DF0F0F"/>
    <w:rsid w:val="00DF23F8"/>
    <w:rsid w:val="00DF54A6"/>
    <w:rsid w:val="00E0181C"/>
    <w:rsid w:val="00E03B6E"/>
    <w:rsid w:val="00E04AA0"/>
    <w:rsid w:val="00E04F99"/>
    <w:rsid w:val="00E06518"/>
    <w:rsid w:val="00E06924"/>
    <w:rsid w:val="00E1285E"/>
    <w:rsid w:val="00E12BF4"/>
    <w:rsid w:val="00E16B0C"/>
    <w:rsid w:val="00E17D21"/>
    <w:rsid w:val="00E2206C"/>
    <w:rsid w:val="00E25DA0"/>
    <w:rsid w:val="00E31656"/>
    <w:rsid w:val="00E3609E"/>
    <w:rsid w:val="00E4323C"/>
    <w:rsid w:val="00E51585"/>
    <w:rsid w:val="00E54033"/>
    <w:rsid w:val="00E56A6F"/>
    <w:rsid w:val="00E622D5"/>
    <w:rsid w:val="00E64D96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A70DD"/>
    <w:rsid w:val="00EB3D92"/>
    <w:rsid w:val="00EC07A8"/>
    <w:rsid w:val="00EC5846"/>
    <w:rsid w:val="00EC678F"/>
    <w:rsid w:val="00EC7DBD"/>
    <w:rsid w:val="00ED17E1"/>
    <w:rsid w:val="00ED23FA"/>
    <w:rsid w:val="00ED334C"/>
    <w:rsid w:val="00ED3F74"/>
    <w:rsid w:val="00EE6F1C"/>
    <w:rsid w:val="00EF133E"/>
    <w:rsid w:val="00EF5547"/>
    <w:rsid w:val="00EF6F4F"/>
    <w:rsid w:val="00F01A6D"/>
    <w:rsid w:val="00F0351A"/>
    <w:rsid w:val="00F04EC2"/>
    <w:rsid w:val="00F13A76"/>
    <w:rsid w:val="00F1463E"/>
    <w:rsid w:val="00F2477F"/>
    <w:rsid w:val="00F24F75"/>
    <w:rsid w:val="00F340F1"/>
    <w:rsid w:val="00F35388"/>
    <w:rsid w:val="00F37DFA"/>
    <w:rsid w:val="00F405F6"/>
    <w:rsid w:val="00F42B6B"/>
    <w:rsid w:val="00F47303"/>
    <w:rsid w:val="00F51704"/>
    <w:rsid w:val="00F54604"/>
    <w:rsid w:val="00F63A31"/>
    <w:rsid w:val="00F63D8D"/>
    <w:rsid w:val="00F6514D"/>
    <w:rsid w:val="00F71B85"/>
    <w:rsid w:val="00F72A1A"/>
    <w:rsid w:val="00F740A9"/>
    <w:rsid w:val="00F7473A"/>
    <w:rsid w:val="00F76151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35A0C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DFABACB0DA9E9390BE87B4862A6D1F9F13746784AA890A73904D72CF84B9474652B173EE96d2n6K" TargetMode="External"/><Relationship Id="rId4" Type="http://schemas.openxmlformats.org/officeDocument/2006/relationships/hyperlink" Target="consultantplus://offline/ref=34DFABACB0DA9E9390BE87B4862A6D1F9F13746784AA890A73904D72CF84B9474652B170EE90d2n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9</cp:revision>
  <cp:lastPrinted>2018-12-26T11:58:00Z</cp:lastPrinted>
  <dcterms:created xsi:type="dcterms:W3CDTF">2019-11-04T11:25:00Z</dcterms:created>
  <dcterms:modified xsi:type="dcterms:W3CDTF">2019-12-25T06:08:00Z</dcterms:modified>
</cp:coreProperties>
</file>